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W w:w="1417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3"/>
        <w:gridCol w:w="735"/>
        <w:gridCol w:w="1376"/>
        <w:gridCol w:w="796"/>
        <w:gridCol w:w="1560"/>
        <w:gridCol w:w="1086"/>
        <w:gridCol w:w="1270"/>
        <w:gridCol w:w="1744"/>
        <w:gridCol w:w="1851"/>
        <w:gridCol w:w="1300"/>
        <w:gridCol w:w="1263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4174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hd w:val="clear" w:color="auto" w:fill="FFFFFF"/>
              <w:autoSpaceDE w:val="0"/>
              <w:adjustRightInd w:val="0"/>
              <w:snapToGrid w:val="0"/>
              <w:spacing w:before="0" w:beforeAutospacing="0" w:after="0" w:afterAutospacing="0" w:line="560" w:lineRule="exact"/>
              <w:ind w:left="2003" w:leftChars="342" w:hanging="1285" w:hangingChars="400"/>
              <w:jc w:val="both"/>
              <w:rPr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附件1：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fldChar w:fldCharType="begin"/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instrText xml:space="preserve"> HYPERLINK "http://222.85.160.78:3623/UploadFiles/xwgk/2015/4/2015429203018.doc" </w:instrTex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fldChar w:fldCharType="separate"/>
            </w:r>
            <w:r>
              <w:rPr>
                <w:rStyle w:val="7"/>
                <w:rFonts w:hint="default" w:ascii="仿宋" w:hAnsi="仿宋" w:eastAsia="仿宋"/>
                <w:b/>
                <w:bCs/>
                <w:sz w:val="32"/>
                <w:szCs w:val="32"/>
              </w:rPr>
              <w:t>铜仁幼儿师范高等专科学校201</w:t>
            </w:r>
            <w:r>
              <w:rPr>
                <w:rStyle w:val="7"/>
                <w:rFonts w:hint="eastAsia" w:ascii="仿宋" w:hAnsi="仿宋" w:eastAsia="仿宋"/>
                <w:b/>
                <w:bCs/>
                <w:sz w:val="32"/>
                <w:szCs w:val="32"/>
                <w:lang w:val="en-US" w:eastAsia="zh-CN"/>
              </w:rPr>
              <w:t>8</w:t>
            </w:r>
            <w:r>
              <w:rPr>
                <w:rStyle w:val="7"/>
                <w:rFonts w:hint="default" w:ascii="仿宋" w:hAnsi="仿宋" w:eastAsia="仿宋"/>
                <w:b/>
                <w:bCs/>
                <w:sz w:val="32"/>
                <w:szCs w:val="32"/>
              </w:rPr>
              <w:t>年公开招聘工作人员职位及条件一览表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fldChar w:fldCharType="end"/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2911" w:type="dxa"/>
            <w:gridSpan w:val="10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招聘</w:t>
            </w:r>
            <w:r>
              <w:rPr>
                <w:rFonts w:hint="eastAsia"/>
                <w:b/>
                <w:bCs/>
                <w:szCs w:val="21"/>
              </w:rPr>
              <w:t>条件</w:t>
            </w:r>
          </w:p>
        </w:tc>
        <w:tc>
          <w:tcPr>
            <w:tcW w:w="12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招聘职位</w:t>
            </w:r>
          </w:p>
        </w:tc>
        <w:tc>
          <w:tcPr>
            <w:tcW w:w="137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职位简介</w:t>
            </w:r>
          </w:p>
        </w:tc>
        <w:tc>
          <w:tcPr>
            <w:tcW w:w="79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职位代码</w:t>
            </w:r>
          </w:p>
        </w:tc>
        <w:tc>
          <w:tcPr>
            <w:tcW w:w="156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学历要求</w:t>
            </w:r>
          </w:p>
        </w:tc>
        <w:tc>
          <w:tcPr>
            <w:tcW w:w="108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学位要求</w:t>
            </w:r>
          </w:p>
        </w:tc>
        <w:tc>
          <w:tcPr>
            <w:tcW w:w="4865" w:type="dxa"/>
            <w:gridSpan w:val="3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专业</w:t>
            </w:r>
            <w:r>
              <w:rPr>
                <w:rFonts w:hint="eastAsia"/>
                <w:b/>
                <w:bCs/>
                <w:szCs w:val="21"/>
                <w:lang w:eastAsia="zh-CN"/>
              </w:rPr>
              <w:t>要求</w:t>
            </w:r>
          </w:p>
        </w:tc>
        <w:tc>
          <w:tcPr>
            <w:tcW w:w="130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其他条件</w:t>
            </w: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19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名称</w:t>
            </w:r>
          </w:p>
        </w:tc>
        <w:tc>
          <w:tcPr>
            <w:tcW w:w="735" w:type="dxa"/>
            <w:vMerge w:val="restart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Cs w:val="21"/>
              </w:rPr>
              <w:t>人数</w:t>
            </w:r>
          </w:p>
        </w:tc>
        <w:tc>
          <w:tcPr>
            <w:tcW w:w="137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96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4865" w:type="dxa"/>
            <w:gridSpan w:val="3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300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1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73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137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796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56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08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专科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本科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研究生</w:t>
            </w:r>
          </w:p>
        </w:tc>
        <w:tc>
          <w:tcPr>
            <w:tcW w:w="130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2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专业技术岗位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计算机教师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普通高校全日制本科及以上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学士学位及以上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计算机及相关专业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计算机科学与技术、现代教育技术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需作专业技能测试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音乐教师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02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普通高校全日制本科及以上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学士学位及以上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音乐表演、音乐学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音乐与舞蹈学、</w:t>
            </w:r>
          </w:p>
          <w:p>
            <w:pPr>
              <w:jc w:val="center"/>
              <w:rPr>
                <w:rFonts w:hint="eastAsia" w:eastAsia="仿宋_GB2312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学科教学（音乐）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0"/>
                <w:szCs w:val="20"/>
                <w:highlight w:val="yellow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需作专业技能测试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旅游管理教师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03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普通高校全日制本科及以上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学士学位及以上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旅游管理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旅游管理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体育教师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04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普通高校全日制本科及以上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学士学位及以上</w:t>
            </w: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体育学类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体育学、体育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  <w:rPr>
                <w:rFonts w:hint="eastAsia"/>
                <w:sz w:val="20"/>
                <w:szCs w:val="20"/>
                <w:highlight w:val="yellow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2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幼儿教师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05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专科及以上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48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专业不限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具有幼儿教师资格证</w:t>
            </w: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书或2018年应届毕业生提供幼儿教师资格考试合格证明。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需作专业技能测试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  <w:t>专业技术岗位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  <w:t>钢琴调律师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06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普通高校全日制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  <w:t>专科及以上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音乐表演、音乐教育、</w:t>
            </w:r>
          </w:p>
          <w:p>
            <w:pPr>
              <w:jc w:val="center"/>
              <w:rPr>
                <w:rFonts w:hint="eastAsia" w:eastAsia="宋体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钢琴调律</w:t>
            </w: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音乐表演、音乐学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音乐与舞蹈学、</w:t>
            </w:r>
          </w:p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音乐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  <w:t>需作专业技能测试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(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  <w:t>钢琴调律</w:t>
            </w:r>
            <w:r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  <w:t>)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 w:hRule="atLeast"/>
        </w:trPr>
        <w:tc>
          <w:tcPr>
            <w:tcW w:w="11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专业技术岗位</w:t>
            </w:r>
          </w:p>
        </w:tc>
        <w:tc>
          <w:tcPr>
            <w:tcW w:w="7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1</w:t>
            </w:r>
          </w:p>
        </w:tc>
        <w:tc>
          <w:tcPr>
            <w:tcW w:w="13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辅导员</w:t>
            </w:r>
          </w:p>
        </w:tc>
        <w:tc>
          <w:tcPr>
            <w:tcW w:w="7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val="en-US"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val="en-US" w:eastAsia="zh-CN"/>
              </w:rPr>
              <w:t>07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本科及以上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sz w:val="20"/>
                <w:szCs w:val="20"/>
                <w:highlight w:val="none"/>
              </w:rPr>
            </w:pPr>
          </w:p>
        </w:tc>
        <w:tc>
          <w:tcPr>
            <w:tcW w:w="12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</w:p>
        </w:tc>
        <w:tc>
          <w:tcPr>
            <w:tcW w:w="1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中国语言文学类、马克思主义理论类、教育学类</w:t>
            </w:r>
          </w:p>
        </w:tc>
        <w:tc>
          <w:tcPr>
            <w:tcW w:w="1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中国语言文学、</w:t>
            </w:r>
          </w:p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0"/>
                <w:szCs w:val="20"/>
                <w:highlight w:val="none"/>
                <w:lang w:eastAsia="zh-CN"/>
              </w:rPr>
              <w:t>马克思主义理论、</w:t>
            </w:r>
          </w:p>
          <w:p>
            <w:pPr>
              <w:jc w:val="center"/>
              <w:rPr>
                <w:rFonts w:hint="eastAsia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/>
                <w:sz w:val="20"/>
                <w:szCs w:val="20"/>
                <w:highlight w:val="none"/>
                <w:lang w:eastAsia="zh-CN"/>
              </w:rPr>
              <w:t>教育学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  <w:r>
              <w:rPr>
                <w:rFonts w:hint="eastAsia"/>
                <w:sz w:val="20"/>
                <w:szCs w:val="20"/>
                <w:highlight w:val="none"/>
              </w:rPr>
              <w:t>中共党员</w:t>
            </w:r>
          </w:p>
        </w:tc>
        <w:tc>
          <w:tcPr>
            <w:tcW w:w="12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color w:val="auto"/>
                <w:sz w:val="20"/>
                <w:szCs w:val="20"/>
                <w:highlight w:val="none"/>
                <w:shd w:val="clear" w:color="auto" w:fill="auto"/>
              </w:rPr>
            </w:pPr>
          </w:p>
        </w:tc>
      </w:tr>
    </w:tbl>
    <w:p>
      <w:pPr>
        <w:widowControl/>
        <w:rPr>
          <w:rFonts w:hint="eastAsia"/>
        </w:rPr>
      </w:pPr>
      <w:bookmarkStart w:id="0" w:name="_GoBack"/>
      <w:bookmarkEnd w:id="0"/>
    </w:p>
    <w:p/>
    <w:sectPr>
      <w:pgSz w:w="16838" w:h="11906" w:orient="landscape"/>
      <w:pgMar w:top="1800" w:right="1440" w:bottom="1800" w:left="1440" w:header="851" w:footer="992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484D7E"/>
    <w:rsid w:val="5A48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basedOn w:val="5"/>
    <w:uiPriority w:val="0"/>
  </w:style>
  <w:style w:type="character" w:styleId="7">
    <w:name w:val="Hyperlink"/>
    <w:uiPriority w:val="0"/>
    <w:rPr>
      <w:rFonts w:hint="eastAsia" w:ascii="微软雅黑" w:hAnsi="微软雅黑" w:eastAsia="微软雅黑"/>
      <w:color w:val="333333"/>
      <w:sz w:val="15"/>
      <w:szCs w:val="15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2018-05-03T07:40:00Z</dcterms:created>
  <dc:creator>    Anphieer.</dc:creator>
  <cp:lastModifiedBy>    Anphieer.</cp:lastModifiedBy>
  <dcterms:modified xsi:type="dcterms:W3CDTF">2018-05-03T07:40:39Z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