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rPr>
          <w:rFonts w:ascii="微软雅黑" w:hAnsi="微软雅黑" w:eastAsia="微软雅黑" w:cs="微软雅黑"/>
          <w:caps w:val="0"/>
          <w:color w:val="333333"/>
          <w:spacing w:val="0"/>
          <w:sz w:val="22"/>
          <w:szCs w:val="22"/>
        </w:rPr>
      </w:pPr>
      <w:bookmarkStart w:id="0" w:name="_GoBack"/>
      <w:r>
        <w:rPr>
          <w:rFonts w:ascii="微软雅黑" w:hAnsi="微软雅黑" w:eastAsia="微软雅黑" w:cs="微软雅黑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</w:rPr>
        <w:t>2021</w:t>
      </w:r>
      <w:r>
        <w:rPr>
          <w:rFonts w:hint="eastAsia" w:ascii="微软雅黑" w:hAnsi="微软雅黑" w:eastAsia="微软雅黑" w:cs="微软雅黑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</w:rPr>
        <w:t>年全职引进硕士需求表</w:t>
      </w:r>
      <w:bookmarkEnd w:id="0"/>
    </w:p>
    <w:tbl>
      <w:tblPr>
        <w:tblW w:w="11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076"/>
        <w:gridCol w:w="752"/>
        <w:gridCol w:w="3916"/>
        <w:gridCol w:w="1444"/>
        <w:gridCol w:w="3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eastAsia="zh-CN"/>
              </w:rPr>
              <w:t>二级学院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eastAsia="zh-CN"/>
              </w:rPr>
              <w:t>或部门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eastAsia="zh-CN"/>
              </w:rPr>
              <w:t>需求岗位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eastAsia="zh-CN"/>
              </w:rPr>
              <w:t>需求专业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eastAsia="zh-CN"/>
              </w:rPr>
              <w:t>数量</w:t>
            </w:r>
          </w:p>
        </w:tc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eastAsia="zh-CN"/>
              </w:rPr>
              <w:t>需求描述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教育科学学院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学科教学论（语文、数学）、教育学、心理学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4</w:t>
            </w:r>
          </w:p>
        </w:tc>
        <w:tc>
          <w:tcPr>
            <w:tcW w:w="379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具备教学和科研能力；硕士研究生及以上，且具有相应的学位（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985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211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院校毕业或者“一流”院校、“一流”学科毕业）；马克思主义学院教师和学生处辅导员需为中共党员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统计学、概率论与数理统计、城市管理、行政管理、公共事业管理、政治学理论等相关专业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3</w:t>
            </w:r>
          </w:p>
        </w:tc>
        <w:tc>
          <w:tcPr>
            <w:tcW w:w="3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数学与计算机科学学院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计算机科学与技术、信息与通信工程、软件工程、计算机应用技术、计算机软件与理论、计算机系统结构、电子科学与技术、统计学、概率论与数理统计、应用数学、基础数学、计算数学、概率论与数理统计等相关专业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11</w:t>
            </w:r>
          </w:p>
        </w:tc>
        <w:tc>
          <w:tcPr>
            <w:tcW w:w="3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实验岗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计算机科学与技术、信息与通信工程、系统科学、电子科学与技术、控制科学与工程等相关学科下设相关专业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1</w:t>
            </w:r>
          </w:p>
        </w:tc>
        <w:tc>
          <w:tcPr>
            <w:tcW w:w="3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化学与材料工程学院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化学教学论、环境科学与工程、环境工程、给水排水工程、环境功能材料等相关专业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3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实验岗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化学、化学工程、应用化学等相关专业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1</w:t>
            </w:r>
          </w:p>
        </w:tc>
        <w:tc>
          <w:tcPr>
            <w:tcW w:w="3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物理与电气工程学院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自动化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1</w:t>
            </w:r>
          </w:p>
        </w:tc>
        <w:tc>
          <w:tcPr>
            <w:tcW w:w="3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美术与设计学院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数字媒体艺术（影视动画类、数字媒体艺术、数字媒体技术、戏剧影视学类等相关专业）、美术学、风景园林、生态学、环境工程、市政工程（含道路、给排水及电气自动化等相关专业）、城乡规划、建筑学等相关专业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6</w:t>
            </w:r>
          </w:p>
        </w:tc>
        <w:tc>
          <w:tcPr>
            <w:tcW w:w="3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实验岗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城乡规划、风景园林、数字媒体及相关专业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3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矿业与土木工程学院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安全科学与工程、安全技术及工程、矿业工程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1</w:t>
            </w:r>
          </w:p>
        </w:tc>
        <w:tc>
          <w:tcPr>
            <w:tcW w:w="3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实验岗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土木工程、岩土工程、结构工程、市政工程、防灾减灾工程及防护工程、桥梁与隧道工程、建筑与土木工程、土木工程类自设专业、力学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一般力学与力学基础、固体力学、流体力学、工程力学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、水利工程、地质资源与地质工程、地质工程、安全科学与工程、安全技术及工程、矿业工程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3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旅游与历史文化学院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地理学科教育、历史学科教育、酒店类或旅游类专业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4</w:t>
            </w:r>
          </w:p>
        </w:tc>
        <w:tc>
          <w:tcPr>
            <w:tcW w:w="3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体育学院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体育教育训练学（田径、体操方向）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3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思想政治教育、伦理学、政治学、马克思主义中国化、马克思主义基本原理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4</w:t>
            </w:r>
          </w:p>
        </w:tc>
        <w:tc>
          <w:tcPr>
            <w:tcW w:w="3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音乐学院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3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舞蹈学、舞蹈表演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3</w:t>
            </w:r>
          </w:p>
        </w:tc>
        <w:tc>
          <w:tcPr>
            <w:tcW w:w="379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2"/>
          <w:szCs w:val="22"/>
        </w:rPr>
      </w:pPr>
    </w:p>
    <w:p/>
    <w:sectPr>
      <w:pgSz w:w="11906" w:h="16838"/>
      <w:pgMar w:top="1440" w:right="1800" w:bottom="1440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221CE"/>
    <w:rsid w:val="03E2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2020-12-12T08:12:00Z</dcterms:created>
  <dc:creator>米唐</dc:creator>
  <cp:lastModifiedBy>米唐</cp:lastModifiedBy>
  <dcterms:modified xsi:type="dcterms:W3CDTF">2020-12-12T08:13:24Z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