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  <w:r>
        <w:rPr>
          <w:rFonts w:ascii="微软雅黑" w:hAnsi="微软雅黑" w:eastAsia="微软雅黑" w:cs="微软雅黑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</w:rPr>
        <w:t>2021</w:t>
      </w:r>
      <w:r>
        <w:rPr>
          <w:rFonts w:hint="eastAsia" w:ascii="微软雅黑" w:hAnsi="微软雅黑" w:eastAsia="微软雅黑" w:cs="微软雅黑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</w:rPr>
        <w:t>年全职引进博士需</w:t>
      </w: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color w:val="262626"/>
          <w:spacing w:val="0"/>
          <w:sz w:val="24"/>
          <w:szCs w:val="24"/>
          <w:bdr w:val="none" w:color="auto" w:sz="0" w:space="0"/>
          <w:shd w:val="clear" w:fill="FFFFFF"/>
        </w:rPr>
        <w:t>求表</w:t>
      </w:r>
    </w:p>
    <w:tbl>
      <w:tblPr>
        <w:tblW w:w="10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036"/>
        <w:gridCol w:w="763"/>
        <w:gridCol w:w="5662"/>
        <w:gridCol w:w="601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二级学院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需求岗位</w:t>
            </w:r>
          </w:p>
        </w:tc>
        <w:tc>
          <w:tcPr>
            <w:tcW w:w="5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需求专业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  <w:lang w:eastAsia="zh-CN"/>
              </w:rPr>
              <w:t>需求描述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教育科学学院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5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教育学、心理学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具备教学和科研能力；博士研究生且具有相应的学位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文学与新闻学院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5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语言学与应用语言学、比较文学与世界文学、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文字学、文艺学、中国现当代文学、书法学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5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金融学、西方经济学、应用经济学、统计学、概率论与数理统计、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城市管理、行政管理、公共事业管理、政治学理论等相关专业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生物科学与技术学院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5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畜牧学、兽医学、动物学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物理与电气工程学院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5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物理学一级学科（含理论物理、光学、无线电物理等所有二级学科）、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天文学一级学科、电子科学与技术、光学工程、光学、电气工程、能源与动力工程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矿业与土木工程学院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5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机械类、机械设计制造及其自动化、机械电子工程、机械工程、工业设计、地质工程、土木工程、岩土工程、结构工程、市政工程、防灾减灾工程及防护工程、桥梁与隧道工程、建筑与土木工程、土木工程类自设专业、力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一般力学与力学基础、固体力学、流体力学、工程力学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、水利工程、地质资源与地质工程（研究方向与岩土相关）、地质工程（研究方向与岩土相关）、安全科学与工程、安全技术及工程、矿业工程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5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哲学、逻辑学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音乐学院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教师</w:t>
            </w:r>
          </w:p>
        </w:tc>
        <w:tc>
          <w:tcPr>
            <w:tcW w:w="5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eastAsia="zh-CN"/>
              </w:rPr>
              <w:t>艺术学大类（音乐、舞蹈专业）</w:t>
            </w:r>
          </w:p>
        </w:tc>
        <w:tc>
          <w:tcPr>
            <w:tcW w:w="6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u w:val="none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40" w:right="1800" w:bottom="1440" w:left="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436ED"/>
    <w:rsid w:val="08F4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2020-12-12T08:10:00Z</dcterms:created>
  <dc:creator>米唐</dc:creator>
  <cp:lastModifiedBy>米唐</cp:lastModifiedBy>
  <dcterms:modified xsi:type="dcterms:W3CDTF">2020-12-12T08:12:14Z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