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r>
        <w:rPr>
          <w:rFonts w:hint="eastAsia" w:ascii="黑体" w:hAnsi="黑体" w:eastAsia="黑体"/>
          <w:sz w:val="32"/>
          <w:szCs w:val="32"/>
        </w:rPr>
        <w:t>附件2</w:t>
      </w:r>
    </w:p>
    <w:p>
      <w:pPr>
        <w:spacing w:line="580" w:lineRule="exact"/>
        <w:rPr>
          <w:rFonts w:eastAsia="仿宋_GB2312"/>
          <w:sz w:val="32"/>
          <w:szCs w:val="32"/>
        </w:rPr>
      </w:pPr>
      <w:r>
        <w:rPr>
          <w:rFonts w:hint="eastAsia"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方正小标宋简体" w:hAnsi="黑体" w:eastAsia="方正小标宋简体"/>
          <w:b/>
          <w:bCs/>
          <w:color w:val="000000" w:themeColor="text1"/>
          <w:spacing w:val="-10"/>
          <w:sz w:val="36"/>
          <w:szCs w:val="36"/>
          <w14:textFill>
            <w14:solidFill>
              <w14:schemeClr w14:val="tx1"/>
            </w14:solidFill>
          </w14:textFill>
        </w:rPr>
      </w:pPr>
      <w:r>
        <w:rPr>
          <w:rFonts w:hint="eastAsia" w:eastAsia="仿宋_GB2312"/>
          <w:b/>
          <w:sz w:val="36"/>
          <w:szCs w:val="36"/>
        </w:rPr>
        <w:t>贵州省气象部门2020年公开招聘全日制普通应届高校毕业生</w:t>
      </w:r>
      <w:r>
        <w:rPr>
          <w:rFonts w:eastAsia="仿宋_GB2312"/>
          <w:b/>
          <w:sz w:val="36"/>
          <w:szCs w:val="36"/>
        </w:rPr>
        <w:t>新冠肺炎疫情防控告知书</w:t>
      </w:r>
    </w:p>
    <w:p>
      <w:pPr>
        <w:keepNext w:val="0"/>
        <w:keepLines w:val="0"/>
        <w:pageBreakBefore w:val="0"/>
        <w:widowControl w:val="0"/>
        <w:kinsoku/>
        <w:wordWrap/>
        <w:overflowPunct/>
        <w:topLinePunct w:val="0"/>
        <w:autoSpaceDE/>
        <w:autoSpaceDN/>
        <w:bidi w:val="0"/>
        <w:adjustRightInd/>
        <w:snapToGrid/>
        <w:spacing w:line="580" w:lineRule="exact"/>
        <w:rPr>
          <w:rFonts w:eastAsia="黑体"/>
          <w:bCs/>
          <w:color w:val="000000" w:themeColor="text1"/>
          <w:spacing w:val="8"/>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90"/>
        <w:rPr>
          <w:rFonts w:hint="eastAsia" w:ascii="仿宋_GB2312" w:hAnsi="inherit" w:eastAsia="仿宋_GB2312"/>
          <w:color w:val="000000"/>
          <w:sz w:val="32"/>
          <w:szCs w:val="32"/>
        </w:rPr>
      </w:pPr>
      <w:r>
        <w:rPr>
          <w:rFonts w:hint="eastAsia" w:ascii="仿宋_GB2312" w:hAnsi="inherit" w:eastAsia="仿宋_GB2312"/>
          <w:color w:val="000000"/>
          <w:sz w:val="32"/>
          <w:szCs w:val="32"/>
        </w:rPr>
        <w:t>一、</w:t>
      </w:r>
      <w:r>
        <w:rPr>
          <w:rFonts w:ascii="仿宋_GB2312" w:hAnsi="inherit" w:eastAsia="仿宋_GB2312"/>
          <w:color w:val="000000"/>
          <w:sz w:val="32"/>
          <w:szCs w:val="32"/>
        </w:rPr>
        <w:t>入围面试的考生应在</w:t>
      </w:r>
      <w:r>
        <w:rPr>
          <w:rFonts w:hint="eastAsia" w:ascii="仿宋_GB2312" w:hAnsi="inherit" w:eastAsia="仿宋_GB2312"/>
          <w:color w:val="000000"/>
          <w:sz w:val="32"/>
          <w:szCs w:val="32"/>
        </w:rPr>
        <w:t>报到前</w:t>
      </w:r>
      <w:r>
        <w:rPr>
          <w:rFonts w:ascii="仿宋_GB2312" w:hAnsi="inherit" w:eastAsia="仿宋_GB2312"/>
          <w:color w:val="000000"/>
          <w:sz w:val="32"/>
          <w:szCs w:val="32"/>
        </w:rPr>
        <w:t>申领“</w:t>
      </w:r>
      <w:r>
        <w:rPr>
          <w:rFonts w:hint="eastAsia" w:ascii="仿宋_GB2312" w:hAnsi="inherit" w:eastAsia="仿宋_GB2312"/>
          <w:color w:val="000000"/>
          <w:sz w:val="32"/>
          <w:szCs w:val="32"/>
        </w:rPr>
        <w:t>贵州健</w:t>
      </w:r>
      <w:r>
        <w:rPr>
          <w:rFonts w:ascii="仿宋_GB2312" w:hAnsi="inherit" w:eastAsia="仿宋_GB2312"/>
          <w:color w:val="000000"/>
          <w:sz w:val="32"/>
          <w:szCs w:val="32"/>
        </w:rPr>
        <w:t>康码”并进行健康</w:t>
      </w:r>
      <w:r>
        <w:rPr>
          <w:rFonts w:hint="eastAsia" w:ascii="仿宋_GB2312" w:hAnsi="inherit" w:eastAsia="仿宋_GB2312"/>
          <w:color w:val="000000"/>
          <w:sz w:val="32"/>
          <w:szCs w:val="32"/>
        </w:rPr>
        <w:t>打卡</w:t>
      </w:r>
      <w:r>
        <w:rPr>
          <w:rFonts w:ascii="仿宋_GB2312" w:hAnsi="inherit" w:eastAsia="仿宋_GB2312"/>
          <w:color w:val="000000"/>
          <w:sz w:val="32"/>
          <w:szCs w:val="32"/>
        </w:rPr>
        <w:t>，于面试报到</w:t>
      </w:r>
      <w:bookmarkStart w:id="0" w:name="_GoBack"/>
      <w:bookmarkEnd w:id="0"/>
      <w:r>
        <w:rPr>
          <w:rFonts w:ascii="仿宋_GB2312" w:hAnsi="inherit" w:eastAsia="仿宋_GB2312"/>
          <w:color w:val="000000"/>
          <w:sz w:val="32"/>
          <w:szCs w:val="32"/>
        </w:rPr>
        <w:t>时主动向工作人员出示（居住在</w:t>
      </w:r>
      <w:r>
        <w:rPr>
          <w:rFonts w:hint="eastAsia" w:ascii="仿宋_GB2312" w:hAnsi="inherit" w:eastAsia="仿宋_GB2312"/>
          <w:color w:val="000000"/>
          <w:sz w:val="32"/>
          <w:szCs w:val="32"/>
        </w:rPr>
        <w:t>贵州</w:t>
      </w:r>
      <w:r>
        <w:rPr>
          <w:rFonts w:ascii="仿宋_GB2312" w:hAnsi="inherit" w:eastAsia="仿宋_GB2312"/>
          <w:color w:val="000000"/>
          <w:sz w:val="32"/>
          <w:szCs w:val="32"/>
        </w:rPr>
        <w:t>省外的考生申领“</w:t>
      </w:r>
      <w:r>
        <w:rPr>
          <w:rFonts w:hint="eastAsia" w:ascii="仿宋_GB2312" w:hAnsi="inherit" w:eastAsia="仿宋_GB2312"/>
          <w:color w:val="000000"/>
          <w:sz w:val="32"/>
          <w:szCs w:val="32"/>
        </w:rPr>
        <w:t>贵州健康码</w:t>
      </w:r>
      <w:r>
        <w:rPr>
          <w:rFonts w:ascii="仿宋_GB2312" w:hAnsi="inherit" w:eastAsia="仿宋_GB2312"/>
          <w:color w:val="000000"/>
          <w:sz w:val="32"/>
          <w:szCs w:val="32"/>
        </w:rPr>
        <w:t>”时，到</w:t>
      </w:r>
      <w:r>
        <w:rPr>
          <w:rFonts w:hint="eastAsia" w:ascii="仿宋_GB2312" w:hAnsi="inherit" w:eastAsia="仿宋_GB2312"/>
          <w:color w:val="000000"/>
          <w:sz w:val="32"/>
          <w:szCs w:val="32"/>
        </w:rPr>
        <w:t>贵州</w:t>
      </w:r>
      <w:r>
        <w:rPr>
          <w:rFonts w:ascii="仿宋_GB2312" w:hAnsi="inherit" w:eastAsia="仿宋_GB2312"/>
          <w:color w:val="000000"/>
          <w:sz w:val="32"/>
          <w:szCs w:val="32"/>
        </w:rPr>
        <w:t>后居住详细地址</w:t>
      </w:r>
      <w:r>
        <w:rPr>
          <w:rFonts w:hint="eastAsia" w:ascii="仿宋_GB2312" w:hAnsi="inherit" w:eastAsia="仿宋_GB2312"/>
          <w:color w:val="000000"/>
          <w:sz w:val="32"/>
          <w:szCs w:val="32"/>
        </w:rPr>
        <w:t>，</w:t>
      </w:r>
      <w:r>
        <w:rPr>
          <w:rFonts w:ascii="仿宋_GB2312" w:hAnsi="inherit" w:eastAsia="仿宋_GB2312"/>
          <w:color w:val="000000"/>
          <w:sz w:val="32"/>
          <w:szCs w:val="32"/>
        </w:rPr>
        <w:t>填写</w:t>
      </w:r>
      <w:r>
        <w:rPr>
          <w:rFonts w:hint="eastAsia" w:ascii="仿宋_GB2312" w:hAnsi="inherit" w:eastAsia="仿宋_GB2312"/>
          <w:color w:val="000000"/>
          <w:sz w:val="32"/>
          <w:szCs w:val="32"/>
        </w:rPr>
        <w:t>贵州省贵阳市南明区新华路翠微巷9号</w:t>
      </w:r>
      <w:r>
        <w:rPr>
          <w:rFonts w:ascii="仿宋_GB2312" w:hAnsi="inherit"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90"/>
        <w:rPr>
          <w:rFonts w:hint="eastAsia" w:ascii="inherit" w:hAnsi="inherit"/>
          <w:color w:val="000000"/>
          <w:sz w:val="32"/>
          <w:szCs w:val="32"/>
        </w:rPr>
      </w:pPr>
      <w:r>
        <w:rPr>
          <w:rFonts w:hint="eastAsia" w:ascii="仿宋_GB2312" w:hAnsi="inherit" w:eastAsia="仿宋_GB2312"/>
          <w:color w:val="000000"/>
          <w:sz w:val="32"/>
          <w:szCs w:val="32"/>
        </w:rPr>
        <w:t>参加面试考生应在面试当天报到时向工作人员提供贵州健康码和通信大数据行程卡状态信息，并配合工作人员做好体温测量。贵州健康码为“绿码”，通信大数据行程卡为绿色，且经现场测量体温正常（＜</w:t>
      </w:r>
      <w:r>
        <w:rPr>
          <w:rFonts w:ascii="inherit" w:hAnsi="inherit" w:eastAsia="仿宋_GB2312"/>
          <w:color w:val="000000"/>
          <w:sz w:val="32"/>
          <w:szCs w:val="32"/>
        </w:rPr>
        <w:t>37.3</w:t>
      </w:r>
      <w:r>
        <w:rPr>
          <w:rFonts w:hint="eastAsia" w:ascii="仿宋_GB2312" w:hAnsi="inherit" w:eastAsia="仿宋_GB2312"/>
          <w:color w:val="000000"/>
          <w:sz w:val="32"/>
          <w:szCs w:val="32"/>
        </w:rPr>
        <w:t>℃）的考生方可进入面试场所。</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640"/>
        <w:jc w:val="both"/>
        <w:textAlignment w:val="baseline"/>
        <w:rPr>
          <w:rFonts w:hint="eastAsia" w:ascii="仿宋_GB2312" w:hAnsi="inherit" w:eastAsia="仿宋_GB2312"/>
          <w:color w:val="000000"/>
          <w:sz w:val="32"/>
          <w:szCs w:val="32"/>
        </w:rPr>
      </w:pPr>
      <w:r>
        <w:rPr>
          <w:rFonts w:hint="eastAsia" w:ascii="仿宋_GB2312" w:hAnsi="inherit" w:eastAsia="仿宋_GB2312"/>
          <w:color w:val="000000"/>
          <w:sz w:val="32"/>
          <w:szCs w:val="32"/>
        </w:rPr>
        <w:t>二、贵州省疫情防控要求（因疫情防控形势变化随时调整）</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640"/>
        <w:jc w:val="both"/>
        <w:textAlignment w:val="baseline"/>
        <w:rPr>
          <w:rFonts w:hint="eastAsia" w:ascii="仿宋_GB2312" w:eastAsia="仿宋_GB2312"/>
          <w:sz w:val="32"/>
          <w:szCs w:val="32"/>
        </w:rPr>
      </w:pPr>
      <w:r>
        <w:rPr>
          <w:rFonts w:hint="eastAsia" w:ascii="仿宋_GB2312" w:hAnsi="inherit" w:eastAsia="仿宋_GB2312"/>
          <w:color w:val="000000"/>
          <w:sz w:val="32"/>
          <w:szCs w:val="32"/>
        </w:rPr>
        <w:t>（一）</w:t>
      </w:r>
      <w:r>
        <w:rPr>
          <w:rFonts w:hint="eastAsia" w:ascii="仿宋_GB2312" w:eastAsia="仿宋_GB2312"/>
          <w:sz w:val="32"/>
          <w:szCs w:val="32"/>
        </w:rPr>
        <w:t>对全国中高风险地区来黔人员，有健康绿码和7天内核酸检测阴性合法证明的，到我省后再进行一次核酸检测，阴性后放行；无健康绿码或7天内核酸检测阴性合法证明的，一律实行到我省集中隔离14天，并补足2次核酸检测。</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640"/>
        <w:jc w:val="both"/>
        <w:textAlignment w:val="baseline"/>
        <w:rPr>
          <w:rFonts w:hint="eastAsia" w:ascii="仿宋_GB2312" w:hAnsi="inherit" w:eastAsia="仿宋_GB2312"/>
          <w:color w:val="000000"/>
          <w:sz w:val="32"/>
          <w:szCs w:val="32"/>
        </w:rPr>
      </w:pPr>
      <w:r>
        <w:rPr>
          <w:rFonts w:hint="eastAsia" w:ascii="仿宋_GB2312" w:eastAsia="仿宋_GB2312"/>
          <w:sz w:val="32"/>
          <w:szCs w:val="32"/>
        </w:rPr>
        <w:t>（二）对14天内去过北京市新发地农产品批发市场或接触去过北京市新发地农产品批发市场人员的，一律从入黔之日起补足14天集中隔离医学观察和2次核酸检测。</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640"/>
        <w:jc w:val="both"/>
        <w:textAlignment w:val="baseline"/>
        <w:rPr>
          <w:rFonts w:hint="eastAsia" w:ascii="仿宋_GB2312" w:hAnsi="inherit" w:eastAsia="仿宋_GB2312"/>
          <w:color w:val="auto"/>
          <w:sz w:val="32"/>
          <w:szCs w:val="32"/>
          <w:highlight w:val="none"/>
        </w:rPr>
      </w:pPr>
      <w:r>
        <w:rPr>
          <w:rFonts w:hint="eastAsia" w:ascii="仿宋_GB2312" w:hAnsi="inherit" w:eastAsia="仿宋_GB2312"/>
          <w:color w:val="000000"/>
          <w:sz w:val="32"/>
          <w:szCs w:val="32"/>
        </w:rPr>
        <w:t>（三）</w:t>
      </w:r>
      <w:r>
        <w:rPr>
          <w:rFonts w:hint="eastAsia" w:ascii="仿宋_GB2312" w:eastAsia="仿宋_GB2312"/>
          <w:sz w:val="32"/>
          <w:szCs w:val="32"/>
        </w:rPr>
        <w:t>对14天内从北京市低风险地区来（返）黔的，</w:t>
      </w:r>
      <w:r>
        <w:rPr>
          <w:rFonts w:hint="eastAsia" w:ascii="仿宋_GB2312" w:eastAsia="仿宋_GB2312"/>
          <w:color w:val="auto"/>
          <w:sz w:val="32"/>
          <w:szCs w:val="32"/>
          <w:highlight w:val="none"/>
        </w:rPr>
        <w:t>需提供7天内核酸检测阴性证明。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640"/>
        <w:jc w:val="both"/>
        <w:textAlignment w:val="baseline"/>
        <w:rPr>
          <w:rFonts w:hint="eastAsia" w:ascii="inherit" w:hAnsi="inherit"/>
          <w:color w:val="000000"/>
          <w:sz w:val="32"/>
          <w:szCs w:val="32"/>
        </w:rPr>
      </w:pPr>
      <w:r>
        <w:rPr>
          <w:rFonts w:hint="eastAsia" w:ascii="仿宋_GB2312" w:hAnsi="inherit" w:eastAsia="仿宋_GB2312"/>
          <w:color w:val="000000"/>
          <w:sz w:val="32"/>
          <w:szCs w:val="32"/>
        </w:rPr>
        <w:t>三、考生应保持良好的卫生习惯，从即日起至面试前，不前往国内疫情中高风险地区，不出国（境），不参加聚集性活动。面试当天，考生应佩戴一次性医用口罩或无呼吸阀</w:t>
      </w:r>
      <w:r>
        <w:rPr>
          <w:rFonts w:ascii="inherit" w:hAnsi="inherit" w:eastAsia="仿宋_GB2312"/>
          <w:color w:val="000000"/>
          <w:sz w:val="32"/>
          <w:szCs w:val="32"/>
          <w:highlight w:val="none"/>
        </w:rPr>
        <w:t>N95</w:t>
      </w:r>
      <w:r>
        <w:rPr>
          <w:rFonts w:hint="eastAsia" w:ascii="仿宋_GB2312" w:hAnsi="inherit" w:eastAsia="仿宋_GB2312"/>
          <w:color w:val="000000"/>
          <w:sz w:val="32"/>
          <w:szCs w:val="32"/>
          <w:highlight w:val="none"/>
        </w:rPr>
        <w:t>口罩，除身份确认、面试答题环节需摘除口罩以外，全</w:t>
      </w:r>
      <w:r>
        <w:rPr>
          <w:rFonts w:hint="eastAsia" w:ascii="仿宋_GB2312" w:hAnsi="inherit" w:eastAsia="仿宋_GB2312"/>
          <w:color w:val="000000"/>
          <w:sz w:val="32"/>
          <w:szCs w:val="32"/>
        </w:rPr>
        <w:t>程佩戴口罩，做好个人防护。</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atLeast"/>
        <w:ind w:firstLine="720"/>
        <w:jc w:val="both"/>
        <w:textAlignment w:val="baseline"/>
        <w:rPr>
          <w:rFonts w:hint="eastAsia" w:ascii="inherit" w:hAnsi="inherit"/>
          <w:color w:val="000000"/>
          <w:sz w:val="32"/>
          <w:szCs w:val="32"/>
        </w:rPr>
      </w:pPr>
      <w:r>
        <w:rPr>
          <w:rFonts w:hint="eastAsia" w:ascii="仿宋_GB2312" w:hAnsi="inherit" w:eastAsia="仿宋_GB2312"/>
          <w:color w:val="000000"/>
          <w:sz w:val="32"/>
          <w:szCs w:val="32"/>
        </w:rPr>
        <w:t>四、考生应自觉配合招录单位做好疫情防控工作，凡隐瞒或谎报旅居史、接触史、健康状况等疫情防控重点信息，不配合工作人员进行防疫检测、询问、排查、送诊等造成严重后果的，取消其相应资格，如有违法行为，将依法追究其法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720"/>
        <w:textAlignment w:val="baseline"/>
        <w:rPr>
          <w:rFonts w:hint="eastAsia" w:ascii="仿宋_GB2312" w:hAnsi="inherit" w:eastAsia="仿宋_GB2312"/>
          <w:color w:val="000000"/>
          <w:sz w:val="32"/>
          <w:szCs w:val="32"/>
        </w:rPr>
      </w:pPr>
      <w:r>
        <w:rPr>
          <w:rFonts w:hint="eastAsia" w:ascii="仿宋_GB2312" w:hAnsi="inherit" w:eastAsia="仿宋_GB2312"/>
          <w:color w:val="000000"/>
          <w:sz w:val="32"/>
          <w:szCs w:val="32"/>
        </w:rPr>
        <w:t>五、面试疫情防控措施将根据疫情防控形势变化随时调整，如因疫情防控要求无法组织面试，将视情况另行安排。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75"/>
        <w:textAlignment w:val="baseline"/>
        <w:rPr>
          <w:rFonts w:hint="eastAsia" w:ascii="仿宋_GB2312" w:hAnsi="inherit" w:eastAsia="仿宋_GB2312"/>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75"/>
        <w:textAlignment w:val="baseline"/>
        <w:rPr>
          <w:rFonts w:hint="eastAsia" w:ascii="仿宋_GB2312" w:hAnsi="inherit" w:eastAsia="仿宋_GB2312"/>
          <w:color w:val="000000"/>
          <w:sz w:val="32"/>
          <w:szCs w:val="32"/>
        </w:rPr>
      </w:pPr>
      <w:r>
        <w:rPr>
          <w:rFonts w:hint="eastAsia" w:ascii="仿宋_GB2312" w:hAnsi="inherit" w:eastAsia="仿宋_GB2312"/>
          <w:color w:val="000000"/>
          <w:sz w:val="32"/>
          <w:szCs w:val="32"/>
        </w:rPr>
        <w:t>附“疫情风险等级查询”、“通信大数据行程卡”、“贵州健康码”二维码。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75"/>
        <w:textAlignment w:val="baseline"/>
        <w:rPr>
          <w:rFonts w:hint="eastAsia" w:ascii="仿宋_GB2312" w:hAnsi="inherit" w:eastAsia="仿宋_GB2312"/>
          <w:color w:val="000000"/>
          <w:sz w:val="32"/>
          <w:szCs w:val="32"/>
        </w:rPr>
      </w:pPr>
      <w:r>
        <w:rPr>
          <w:rFonts w:hint="eastAsia" w:ascii="仿宋_GB2312" w:hAnsi="inherit" w:eastAsia="仿宋_GB2312"/>
          <w:color w:val="000000"/>
          <w:sz w:val="32"/>
          <w:szCs w:val="32"/>
        </w:rPr>
        <w:t>中高风险地区以国家卫生健康委公布的信息为准，具体可登录</w:t>
      </w:r>
      <w:r>
        <w:rPr>
          <w:rFonts w:ascii="inherit" w:hAnsi="inherit" w:eastAsia="仿宋_GB2312"/>
          <w:color w:val="000000"/>
          <w:sz w:val="32"/>
          <w:szCs w:val="32"/>
        </w:rPr>
        <w:t>http://bmfw.www.gov.cn/yqfxdjcx/index.html</w:t>
      </w:r>
      <w:r>
        <w:rPr>
          <w:rFonts w:hint="eastAsia" w:ascii="仿宋_GB2312" w:hAnsi="inherit" w:eastAsia="仿宋_GB2312"/>
          <w:color w:val="000000"/>
          <w:sz w:val="32"/>
          <w:szCs w:val="32"/>
        </w:rPr>
        <w:t>查询，也可通过扫描微信小程序二维码查询，二维码见下图。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jc w:val="center"/>
        <w:textAlignment w:val="baseline"/>
        <w:rPr>
          <w:rFonts w:hint="eastAsia" w:ascii="inherit" w:hAnsi="inherit"/>
          <w:color w:val="000000"/>
          <w:sz w:val="27"/>
          <w:szCs w:val="27"/>
        </w:rPr>
      </w:pPr>
      <w:r>
        <w:rPr>
          <w:rFonts w:hint="eastAsia" w:ascii="仿宋_GB2312" w:hAnsi="inherit" w:eastAsia="仿宋_GB2312"/>
          <w:color w:val="000000"/>
          <w:sz w:val="36"/>
          <w:szCs w:val="36"/>
        </w:rPr>
        <w:drawing>
          <wp:inline distT="0" distB="0" distL="0" distR="0">
            <wp:extent cx="3095625" cy="3009900"/>
            <wp:effectExtent l="19050" t="0" r="9525" b="0"/>
            <wp:docPr id="1" name="图片 1" descr="https://ks3-cn-beijing.ksyun.com/zgw/article/7442/content/20200601112928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ks3-cn-beijing.ksyun.com/zgw/article/7442/content/20200601112928_129.jpg"/>
                    <pic:cNvPicPr>
                      <a:picLocks noChangeAspect="1" noChangeArrowheads="1"/>
                    </pic:cNvPicPr>
                  </pic:nvPicPr>
                  <pic:blipFill>
                    <a:blip r:embed="rId4" cstate="print"/>
                    <a:srcRect/>
                    <a:stretch>
                      <a:fillRect/>
                    </a:stretch>
                  </pic:blipFill>
                  <pic:spPr>
                    <a:xfrm>
                      <a:off x="0" y="0"/>
                      <a:ext cx="3095625" cy="3009900"/>
                    </a:xfrm>
                    <a:prstGeom prst="rect">
                      <a:avLst/>
                    </a:prstGeom>
                    <a:noFill/>
                    <a:ln w="9525">
                      <a:noFill/>
                      <a:miter lim="800000"/>
                      <a:headEnd/>
                      <a:tailEnd/>
                    </a:ln>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75"/>
        <w:textAlignment w:val="baseline"/>
        <w:rPr>
          <w:rFonts w:hint="eastAsia" w:ascii="仿宋_GB2312" w:hAnsi="inherit" w:eastAsia="仿宋_GB2312"/>
          <w:color w:val="000000"/>
          <w:sz w:val="32"/>
          <w:szCs w:val="32"/>
        </w:rPr>
      </w:pPr>
      <w:r>
        <w:rPr>
          <w:rFonts w:hint="eastAsia" w:ascii="仿宋_GB2312" w:hAnsi="inherit" w:eastAsia="仿宋_GB2312"/>
          <w:color w:val="000000"/>
          <w:sz w:val="32"/>
          <w:szCs w:val="32"/>
        </w:rPr>
        <w:t>通信大数据行程卡可通过本人微信搜索“通信行程卡”小程序查询，也可通过扫描微信小程序二维码查询，二维码见下图。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jc w:val="center"/>
        <w:textAlignment w:val="baseline"/>
        <w:rPr>
          <w:rFonts w:hint="eastAsia" w:ascii="inherit" w:hAnsi="inherit"/>
          <w:color w:val="000000"/>
          <w:sz w:val="27"/>
          <w:szCs w:val="27"/>
        </w:rPr>
      </w:pPr>
      <w:r>
        <w:rPr>
          <w:rFonts w:hint="eastAsia" w:ascii="inherit" w:hAnsi="inherit"/>
          <w:color w:val="000000"/>
          <w:sz w:val="27"/>
          <w:szCs w:val="27"/>
        </w:rPr>
        <w:drawing>
          <wp:inline distT="0" distB="0" distL="0" distR="0">
            <wp:extent cx="3333750" cy="3267075"/>
            <wp:effectExtent l="19050" t="0" r="0" b="0"/>
            <wp:docPr id="3" name="图片 3" descr="https://ks3-cn-beijing.ksyun.com/zgw/article/7442/content/20200601112950_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ks3-cn-beijing.ksyun.com/zgw/article/7442/content/20200601112950_569.jpg"/>
                    <pic:cNvPicPr>
                      <a:picLocks noChangeAspect="1" noChangeArrowheads="1"/>
                    </pic:cNvPicPr>
                  </pic:nvPicPr>
                  <pic:blipFill>
                    <a:blip r:embed="rId5" cstate="print"/>
                    <a:srcRect/>
                    <a:stretch>
                      <a:fillRect/>
                    </a:stretch>
                  </pic:blipFill>
                  <pic:spPr>
                    <a:xfrm>
                      <a:off x="0" y="0"/>
                      <a:ext cx="3333750" cy="3267075"/>
                    </a:xfrm>
                    <a:prstGeom prst="rect">
                      <a:avLst/>
                    </a:prstGeom>
                    <a:noFill/>
                    <a:ln w="9525">
                      <a:noFill/>
                      <a:miter lim="800000"/>
                      <a:headEnd/>
                      <a:tailEnd/>
                    </a:ln>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textAlignment w:val="baseline"/>
        <w:rPr>
          <w:rFonts w:hint="eastAsia" w:ascii="inherit" w:hAnsi="inherit"/>
          <w:color w:val="000000"/>
          <w:sz w:val="32"/>
          <w:szCs w:val="32"/>
        </w:rPr>
      </w:pPr>
      <w:r>
        <w:rPr>
          <w:rFonts w:hint="eastAsia" w:ascii="仿宋_GB2312" w:hAnsi="inherit" w:eastAsia="仿宋_GB2312"/>
          <w:color w:val="000000"/>
          <w:sz w:val="32"/>
          <w:szCs w:val="32"/>
        </w:rPr>
        <w:t>贵州健康码可通过本人微信搜索 “贵州健康码”小程序查询，也可通过微信扫描二维码查询，二维码见下图。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jc w:val="center"/>
        <w:textAlignment w:val="baseline"/>
        <w:rPr>
          <w:rFonts w:hint="eastAsia" w:ascii="inherit" w:hAnsi="inherit"/>
          <w:color w:val="000000"/>
          <w:sz w:val="27"/>
          <w:szCs w:val="27"/>
        </w:rPr>
      </w:pPr>
      <w:r>
        <w:rPr>
          <w:rFonts w:ascii="inherit" w:hAnsi="inherit"/>
          <w:color w:val="000000"/>
          <w:sz w:val="27"/>
          <w:szCs w:val="27"/>
        </w:rPr>
        <w:drawing>
          <wp:inline distT="0" distB="0" distL="0" distR="0">
            <wp:extent cx="2794000" cy="2781300"/>
            <wp:effectExtent l="19050" t="0" r="6113" b="0"/>
            <wp:docPr id="2" name="图片 1" descr="F:\进人\2020\公务员2020\8.面试前准备材料\贵州健康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进人\2020\公务员2020\8.面试前准备材料\贵州健康码.jpg"/>
                    <pic:cNvPicPr>
                      <a:picLocks noChangeAspect="1" noChangeArrowheads="1"/>
                    </pic:cNvPicPr>
                  </pic:nvPicPr>
                  <pic:blipFill>
                    <a:blip r:embed="rId6" cstate="print"/>
                    <a:srcRect/>
                    <a:stretch>
                      <a:fillRect/>
                    </a:stretch>
                  </pic:blipFill>
                  <pic:spPr>
                    <a:xfrm>
                      <a:off x="0" y="0"/>
                      <a:ext cx="2796643" cy="278369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snapToGrid/>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C1"/>
    <w:rsid w:val="005423C1"/>
    <w:rsid w:val="007344A7"/>
    <w:rsid w:val="00787CA6"/>
    <w:rsid w:val="00AC7B22"/>
    <w:rsid w:val="00D26602"/>
    <w:rsid w:val="03195B10"/>
    <w:rsid w:val="17D73606"/>
    <w:rsid w:val="2BA25801"/>
    <w:rsid w:val="78EF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158</Words>
  <Characters>902</Characters>
  <Lines>7</Lines>
  <Paragraphs>2</Paragraphs>
  <TotalTime>25</TotalTime>
  <ScaleCrop>false</ScaleCrop>
  <LinksUpToDate>false</LinksUpToDate>
  <CharactersWithSpaces>1058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2020-06-19T07:46:00Z</dcterms:created>
  <dc:creator>方星宏</dc:creator>
  <cp:lastModifiedBy>崔庭(拟稿)</cp:lastModifiedBy>
  <dcterms:modified xsi:type="dcterms:W3CDTF">2020-06-19T09:09:56Z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